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METCALFE NORMAN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2007 BAYADERE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CORONA DEL MAR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21"/>
        <w:gridCol w:w="947"/>
        <w:gridCol w:w="814"/>
        <w:gridCol w:w="628"/>
        <w:gridCol w:w="346"/>
        <w:gridCol w:w="820"/>
        <w:gridCol w:w="421"/>
        <w:gridCol w:w="658"/>
        <w:gridCol w:w="1127"/>
        <w:gridCol w:w="978"/>
        <w:gridCol w:w="154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1,253</w:t>
            </w:r>
          </w:p>
        </w:tc>
        <w:tc>
          <w:tcPr>
            <w:tcW w:w="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92,124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Non-Qualified Deferred Compensation Plan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 ownership of 18,620 shares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Indirect Ownership of 73,504 shares in the Non-Qualified Deferred Compensation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Norman Metcalfe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14407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3192</Characters>
  <CharactersWithSpaces>3718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