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207645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Tejon Ranch Co.</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25"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1-07183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77-0196136</w:t>
      </w:r>
    </w:p>
    <w:p>
      <w:pPr>
        <w:spacing w:after="0" w:line="24"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P. O. Box 1000, Lebec, 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93243</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661-248-3000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2026 Annual Meeting of the Shareholders (the “Annual Meeting”) of Tejon Ranch Co. (the “Company”) was held on May 13, 2026. A quorum was present at the Annual Meeting. Proxies for the Annual Meeting were solicited pursuant to Regulation 14A under the Securities Exchange Act of 1934, and there was no solicitation in opposition to the Board’s nominees. At the Annual Meeting, shareholders elected all director nominees and approved all proposals submitted for shareholder vote by the Board, including the advisory vote on named executive compensation, the ratification of Deloitte &amp; Touche LLP as the Company’s independent registered public accounting firm for 2026, the proposal to adopt advance notice amendments to the Company’s Certificate of Incorporation, and the proposal amending the Certificate of Incorporation to grant shareholders the right to call a special meeting. The final results of voting for each matter submitted to a vote of shareholders at the Annual Meeting are set forth below.</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Election of Nine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results for the election of directors were as follows:</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31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60" w:type="dxa"/>
            <w:vAlign w:val="bottom"/>
          </w:tcPr>
          <w:p>
            <w:pPr>
              <w:spacing w:after="0"/>
              <w:rPr>
                <w:sz w:val="16"/>
                <w:szCs w:val="16"/>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1380" w:type="dxa"/>
            <w:vAlign w:val="bottom"/>
            <w:gridSpan w:val="2"/>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Steven A. Betts</w:t>
            </w:r>
          </w:p>
        </w:tc>
        <w:tc>
          <w:tcPr>
            <w:tcW w:w="2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21,315,196</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856,383</w:t>
            </w: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2,611,423</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S. Bielli</w:t>
            </w:r>
          </w:p>
        </w:tc>
        <w:tc>
          <w:tcPr>
            <w:tcW w:w="3140" w:type="dxa"/>
            <w:vAlign w:val="bottom"/>
            <w:gridSpan w:val="2"/>
          </w:tcPr>
          <w:p>
            <w:pPr>
              <w:jc w:val="center"/>
              <w:ind w:left="2230"/>
              <w:spacing w:after="0"/>
              <w:rPr>
                <w:sz w:val="20"/>
                <w:szCs w:val="20"/>
                <w:color w:val="auto"/>
              </w:rPr>
            </w:pPr>
            <w:r>
              <w:rPr>
                <w:rFonts w:ascii="Times New Roman" w:cs="Times New Roman" w:eastAsia="Times New Roman" w:hAnsi="Times New Roman"/>
                <w:sz w:val="18"/>
                <w:szCs w:val="18"/>
                <w:color w:val="auto"/>
              </w:rPr>
              <w:t>18,616,084</w:t>
            </w:r>
          </w:p>
        </w:tc>
        <w:tc>
          <w:tcPr>
            <w:tcW w:w="1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3,555,495</w:t>
            </w:r>
          </w:p>
        </w:tc>
        <w:tc>
          <w:tcPr>
            <w:tcW w:w="13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9"/>
              </w:rPr>
              <w:t>2,611,423</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Dakos</w:t>
            </w:r>
          </w:p>
        </w:tc>
        <w:tc>
          <w:tcPr>
            <w:tcW w:w="3140" w:type="dxa"/>
            <w:vAlign w:val="bottom"/>
            <w:gridSpan w:val="2"/>
            <w:shd w:val="clear" w:color="auto" w:fill="CCEEFF"/>
          </w:tcPr>
          <w:p>
            <w:pPr>
              <w:jc w:val="center"/>
              <w:ind w:left="2230"/>
              <w:spacing w:after="0"/>
              <w:rPr>
                <w:sz w:val="20"/>
                <w:szCs w:val="20"/>
                <w:color w:val="auto"/>
              </w:rPr>
            </w:pPr>
            <w:r>
              <w:rPr>
                <w:rFonts w:ascii="Times New Roman" w:cs="Times New Roman" w:eastAsia="Times New Roman" w:hAnsi="Times New Roman"/>
                <w:sz w:val="18"/>
                <w:szCs w:val="18"/>
                <w:color w:val="auto"/>
              </w:rPr>
              <w:t>21,216,629</w:t>
            </w:r>
          </w:p>
        </w:tc>
        <w:tc>
          <w:tcPr>
            <w:tcW w:w="100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954,950</w:t>
            </w:r>
          </w:p>
        </w:tc>
        <w:tc>
          <w:tcPr>
            <w:tcW w:w="13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2,611,423</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Denise Gammon</w:t>
            </w:r>
          </w:p>
        </w:tc>
        <w:tc>
          <w:tcPr>
            <w:tcW w:w="3140" w:type="dxa"/>
            <w:vAlign w:val="bottom"/>
            <w:gridSpan w:val="2"/>
          </w:tcPr>
          <w:p>
            <w:pPr>
              <w:jc w:val="center"/>
              <w:ind w:left="2230"/>
              <w:spacing w:after="0"/>
              <w:rPr>
                <w:sz w:val="20"/>
                <w:szCs w:val="20"/>
                <w:color w:val="auto"/>
              </w:rPr>
            </w:pPr>
            <w:r>
              <w:rPr>
                <w:rFonts w:ascii="Times New Roman" w:cs="Times New Roman" w:eastAsia="Times New Roman" w:hAnsi="Times New Roman"/>
                <w:sz w:val="18"/>
                <w:szCs w:val="18"/>
                <w:color w:val="auto"/>
              </w:rPr>
              <w:t>21,566,632</w:t>
            </w:r>
          </w:p>
        </w:tc>
        <w:tc>
          <w:tcPr>
            <w:tcW w:w="10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604,947</w:t>
            </w:r>
          </w:p>
        </w:tc>
        <w:tc>
          <w:tcPr>
            <w:tcW w:w="13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9"/>
              </w:rPr>
              <w:t>2,611,423</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L. Leggio</w:t>
            </w:r>
          </w:p>
        </w:tc>
        <w:tc>
          <w:tcPr>
            <w:tcW w:w="3140" w:type="dxa"/>
            <w:vAlign w:val="bottom"/>
            <w:gridSpan w:val="2"/>
            <w:shd w:val="clear" w:color="auto" w:fill="CCEEFF"/>
          </w:tcPr>
          <w:p>
            <w:pPr>
              <w:jc w:val="center"/>
              <w:ind w:left="2230"/>
              <w:spacing w:after="0"/>
              <w:rPr>
                <w:sz w:val="20"/>
                <w:szCs w:val="20"/>
                <w:color w:val="auto"/>
              </w:rPr>
            </w:pPr>
            <w:r>
              <w:rPr>
                <w:rFonts w:ascii="Times New Roman" w:cs="Times New Roman" w:eastAsia="Times New Roman" w:hAnsi="Times New Roman"/>
                <w:sz w:val="18"/>
                <w:szCs w:val="18"/>
                <w:color w:val="auto"/>
              </w:rPr>
              <w:t>21,423,830</w:t>
            </w:r>
          </w:p>
        </w:tc>
        <w:tc>
          <w:tcPr>
            <w:tcW w:w="100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747,749</w:t>
            </w:r>
          </w:p>
        </w:tc>
        <w:tc>
          <w:tcPr>
            <w:tcW w:w="13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2,611,423</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J. McCall</w:t>
            </w:r>
          </w:p>
        </w:tc>
        <w:tc>
          <w:tcPr>
            <w:tcW w:w="3140" w:type="dxa"/>
            <w:vAlign w:val="bottom"/>
            <w:gridSpan w:val="2"/>
          </w:tcPr>
          <w:p>
            <w:pPr>
              <w:jc w:val="center"/>
              <w:ind w:left="2230"/>
              <w:spacing w:after="0"/>
              <w:rPr>
                <w:sz w:val="20"/>
                <w:szCs w:val="20"/>
                <w:color w:val="auto"/>
              </w:rPr>
            </w:pPr>
            <w:r>
              <w:rPr>
                <w:rFonts w:ascii="Times New Roman" w:cs="Times New Roman" w:eastAsia="Times New Roman" w:hAnsi="Times New Roman"/>
                <w:sz w:val="18"/>
                <w:szCs w:val="18"/>
                <w:color w:val="auto"/>
              </w:rPr>
              <w:t>21,608,147</w:t>
            </w:r>
          </w:p>
        </w:tc>
        <w:tc>
          <w:tcPr>
            <w:tcW w:w="10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563,432</w:t>
            </w:r>
          </w:p>
        </w:tc>
        <w:tc>
          <w:tcPr>
            <w:tcW w:w="13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9"/>
              </w:rPr>
              <w:t>2,611,423</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Norman J. Metcalfe</w:t>
            </w:r>
          </w:p>
        </w:tc>
        <w:tc>
          <w:tcPr>
            <w:tcW w:w="3140" w:type="dxa"/>
            <w:vAlign w:val="bottom"/>
            <w:gridSpan w:val="2"/>
            <w:shd w:val="clear" w:color="auto" w:fill="CCEEFF"/>
          </w:tcPr>
          <w:p>
            <w:pPr>
              <w:jc w:val="center"/>
              <w:ind w:left="2230"/>
              <w:spacing w:after="0"/>
              <w:rPr>
                <w:sz w:val="20"/>
                <w:szCs w:val="20"/>
                <w:color w:val="auto"/>
              </w:rPr>
            </w:pPr>
            <w:r>
              <w:rPr>
                <w:rFonts w:ascii="Times New Roman" w:cs="Times New Roman" w:eastAsia="Times New Roman" w:hAnsi="Times New Roman"/>
                <w:sz w:val="18"/>
                <w:szCs w:val="18"/>
                <w:color w:val="auto"/>
              </w:rPr>
              <w:t>20,572,145</w:t>
            </w:r>
          </w:p>
        </w:tc>
        <w:tc>
          <w:tcPr>
            <w:tcW w:w="10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1,599,434</w:t>
            </w:r>
          </w:p>
        </w:tc>
        <w:tc>
          <w:tcPr>
            <w:tcW w:w="13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2,611,423</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H. Speron</w:t>
            </w:r>
          </w:p>
        </w:tc>
        <w:tc>
          <w:tcPr>
            <w:tcW w:w="3140" w:type="dxa"/>
            <w:vAlign w:val="bottom"/>
            <w:gridSpan w:val="2"/>
          </w:tcPr>
          <w:p>
            <w:pPr>
              <w:jc w:val="center"/>
              <w:ind w:left="2230"/>
              <w:spacing w:after="0"/>
              <w:rPr>
                <w:sz w:val="20"/>
                <w:szCs w:val="20"/>
                <w:color w:val="auto"/>
              </w:rPr>
            </w:pPr>
            <w:r>
              <w:rPr>
                <w:rFonts w:ascii="Times New Roman" w:cs="Times New Roman" w:eastAsia="Times New Roman" w:hAnsi="Times New Roman"/>
                <w:sz w:val="18"/>
                <w:szCs w:val="18"/>
                <w:color w:val="auto"/>
              </w:rPr>
              <w:t>21,666,070</w:t>
            </w:r>
          </w:p>
        </w:tc>
        <w:tc>
          <w:tcPr>
            <w:tcW w:w="10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505,509</w:t>
            </w:r>
          </w:p>
        </w:tc>
        <w:tc>
          <w:tcPr>
            <w:tcW w:w="13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9"/>
              </w:rPr>
              <w:t>2,611,423</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R. Tisch</w:t>
            </w:r>
          </w:p>
        </w:tc>
        <w:tc>
          <w:tcPr>
            <w:tcW w:w="3140" w:type="dxa"/>
            <w:vAlign w:val="bottom"/>
            <w:gridSpan w:val="2"/>
            <w:shd w:val="clear" w:color="auto" w:fill="CCEEFF"/>
          </w:tcPr>
          <w:p>
            <w:pPr>
              <w:jc w:val="center"/>
              <w:ind w:left="2230"/>
              <w:spacing w:after="0"/>
              <w:rPr>
                <w:sz w:val="20"/>
                <w:szCs w:val="20"/>
                <w:color w:val="auto"/>
              </w:rPr>
            </w:pPr>
            <w:r>
              <w:rPr>
                <w:rFonts w:ascii="Times New Roman" w:cs="Times New Roman" w:eastAsia="Times New Roman" w:hAnsi="Times New Roman"/>
                <w:sz w:val="18"/>
                <w:szCs w:val="18"/>
                <w:color w:val="auto"/>
              </w:rPr>
              <w:t>20,483,706</w:t>
            </w:r>
          </w:p>
        </w:tc>
        <w:tc>
          <w:tcPr>
            <w:tcW w:w="10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1,687,873</w:t>
            </w:r>
          </w:p>
        </w:tc>
        <w:tc>
          <w:tcPr>
            <w:tcW w:w="13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9"/>
              </w:rPr>
              <w:t>2,611,423</w:t>
            </w: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Accordingly, all nine of the Company’s nominees were elected to serve as directors of the Company until the 2027 Annual Meeting of Shareholders or until their respective successors are appointed, elected and qualified.</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Approval of Amendment to Our Certificate of Incorporation to Provide Certain Shareholders Special Meeting Rights</w:t>
      </w: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voting results for the approval of the Company’s proposed amendment to its Certificate of Incorporation to provide certain shareholders special meeting rights were as follows:</w:t>
      </w:r>
    </w:p>
    <w:p>
      <w:pPr>
        <w:spacing w:after="0" w:line="182"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25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80" w:type="dxa"/>
            <w:vAlign w:val="bottom"/>
            <w:gridSpan w:val="3"/>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60" w:type="dxa"/>
            <w:vAlign w:val="bottom"/>
          </w:tcPr>
          <w:p>
            <w:pPr>
              <w:spacing w:after="0"/>
              <w:rPr>
                <w:sz w:val="15"/>
                <w:szCs w:val="15"/>
                <w:color w:val="auto"/>
              </w:rPr>
            </w:pPr>
          </w:p>
        </w:tc>
        <w:tc>
          <w:tcPr>
            <w:tcW w:w="198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1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10"/>
        </w:trPr>
        <w:tc>
          <w:tcPr>
            <w:tcW w:w="2580" w:type="dxa"/>
            <w:vAlign w:val="bottom"/>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21,119,546</w:t>
            </w:r>
          </w:p>
        </w:tc>
        <w:tc>
          <w:tcPr>
            <w:tcW w:w="238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650,004</w:t>
            </w:r>
          </w:p>
        </w:tc>
        <w:tc>
          <w:tcPr>
            <w:tcW w:w="2740" w:type="dxa"/>
            <w:vAlign w:val="bottom"/>
            <w:gridSpan w:val="3"/>
            <w:shd w:val="clear" w:color="auto" w:fill="CCEEFF"/>
          </w:tcPr>
          <w:p>
            <w:pPr>
              <w:jc w:val="right"/>
              <w:ind w:right="1440"/>
              <w:spacing w:after="0"/>
              <w:rPr>
                <w:sz w:val="20"/>
                <w:szCs w:val="20"/>
                <w:color w:val="auto"/>
              </w:rPr>
            </w:pPr>
            <w:r>
              <w:rPr>
                <w:rFonts w:ascii="Times New Roman" w:cs="Times New Roman" w:eastAsia="Times New Roman" w:hAnsi="Times New Roman"/>
                <w:sz w:val="18"/>
                <w:szCs w:val="18"/>
                <w:color w:val="auto"/>
              </w:rPr>
              <w:t>402,029</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2,611,423</w:t>
            </w:r>
          </w:p>
        </w:tc>
      </w:tr>
    </w:tbl>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Approval of Amendment to the Certificate of Incorporation to Change the Advance Notice Requirements for Shareholder Action</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voting results for the approval of the Company’s proposed amendment to its Certificate of Incorporation to change the advance notice requirements for shareholder action were as follows:</w:t>
      </w:r>
    </w:p>
    <w:p>
      <w:pPr>
        <w:spacing w:after="0" w:line="182"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980" w:type="dxa"/>
            <w:vAlign w:val="bottom"/>
          </w:tcPr>
          <w:p>
            <w:pPr>
              <w:spacing w:after="0"/>
              <w:rPr>
                <w:sz w:val="15"/>
                <w:szCs w:val="15"/>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340" w:type="dxa"/>
            <w:vAlign w:val="bottom"/>
          </w:tcPr>
          <w:p>
            <w:pPr>
              <w:spacing w:after="0"/>
              <w:rPr>
                <w:sz w:val="15"/>
                <w:szCs w:val="15"/>
                <w:color w:val="auto"/>
              </w:rPr>
            </w:pPr>
          </w:p>
        </w:tc>
        <w:tc>
          <w:tcPr>
            <w:tcW w:w="2500" w:type="dxa"/>
            <w:vAlign w:val="bottom"/>
            <w:gridSpan w:val="3"/>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09"/>
        </w:trPr>
        <w:tc>
          <w:tcPr>
            <w:tcW w:w="2560" w:type="dxa"/>
            <w:vAlign w:val="bottom"/>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19,453,704</w:t>
            </w:r>
          </w:p>
        </w:tc>
        <w:tc>
          <w:tcPr>
            <w:tcW w:w="25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2,657,015</w:t>
            </w:r>
          </w:p>
        </w:tc>
        <w:tc>
          <w:tcPr>
            <w:tcW w:w="264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60,860</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2,611,423</w:t>
            </w:r>
          </w:p>
        </w:tc>
      </w:tr>
    </w:tbl>
    <w:p>
      <w:pPr>
        <w:sectPr>
          <w:pgSz w:w="11900" w:h="16838" w:orient="portrait"/>
          <w:cols w:equalWidth="0" w:num="1">
            <w:col w:w="10960"/>
          </w:cols>
          <w:pgMar w:left="440" w:top="293" w:right="49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4</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The Ratification of the Appointment of Independent Registered Public Accounting Firm</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Ratification of the appointment of Deloitte &amp; Touche LLP as the Company’s independent registered public accounting firm for the 2026 fiscal year was approved by the following vote:</w:t>
      </w:r>
    </w:p>
    <w:p>
      <w:pPr>
        <w:spacing w:after="0" w:line="182" w:lineRule="exact"/>
        <w:rPr>
          <w:sz w:val="20"/>
          <w:szCs w:val="20"/>
          <w:color w:val="auto"/>
        </w:rPr>
      </w:pPr>
    </w:p>
    <w:tbl>
      <w:tblPr>
        <w:tblLayout w:type="fixed"/>
        <w:tblInd w:w="1660" w:type="dxa"/>
        <w:tblCellMar>
          <w:top w:w="0" w:type="dxa"/>
          <w:left w:w="0" w:type="dxa"/>
          <w:bottom w:w="0" w:type="dxa"/>
          <w:right w:w="0" w:type="dxa"/>
        </w:tblCellMar>
      </w:tblPr>
      <w:tr>
        <w:trPr>
          <w:trHeight w:val="173"/>
        </w:trPr>
        <w:tc>
          <w:tcPr>
            <w:tcW w:w="1260" w:type="dxa"/>
            <w:vAlign w:val="bottom"/>
          </w:tcPr>
          <w:p>
            <w:pPr>
              <w:spacing w:after="0"/>
              <w:rPr>
                <w:sz w:val="15"/>
                <w:szCs w:val="15"/>
                <w:color w:val="auto"/>
              </w:rPr>
            </w:pPr>
          </w:p>
        </w:tc>
        <w:tc>
          <w:tcPr>
            <w:tcW w:w="198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For</w:t>
            </w:r>
          </w:p>
        </w:tc>
        <w:tc>
          <w:tcPr>
            <w:tcW w:w="3000" w:type="dxa"/>
            <w:vAlign w:val="bottom"/>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96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0"/>
        </w:trPr>
        <w:tc>
          <w:tcPr>
            <w:tcW w:w="1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09"/>
        </w:trPr>
        <w:tc>
          <w:tcPr>
            <w:tcW w:w="3240" w:type="dxa"/>
            <w:vAlign w:val="bottom"/>
            <w:gridSpan w:val="3"/>
            <w:shd w:val="clear" w:color="auto" w:fill="CCEEFF"/>
          </w:tcPr>
          <w:p>
            <w:pPr>
              <w:jc w:val="right"/>
              <w:ind w:right="1460"/>
              <w:spacing w:after="0"/>
              <w:rPr>
                <w:sz w:val="20"/>
                <w:szCs w:val="20"/>
                <w:color w:val="auto"/>
              </w:rPr>
            </w:pPr>
            <w:r>
              <w:rPr>
                <w:rFonts w:ascii="Times New Roman" w:cs="Times New Roman" w:eastAsia="Times New Roman" w:hAnsi="Times New Roman"/>
                <w:sz w:val="18"/>
                <w:szCs w:val="18"/>
                <w:color w:val="auto"/>
              </w:rPr>
              <w:t>24,605,431</w:t>
            </w:r>
          </w:p>
        </w:tc>
        <w:tc>
          <w:tcPr>
            <w:tcW w:w="300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115,894</w:t>
            </w:r>
          </w:p>
        </w:tc>
        <w:tc>
          <w:tcPr>
            <w:tcW w:w="14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6"/>
              </w:rPr>
              <w:t>61,677</w:t>
            </w:r>
          </w:p>
        </w:tc>
      </w:tr>
    </w:tbl>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Advisory Vote to Approve Executive Compensation</w:t>
      </w:r>
    </w:p>
    <w:p>
      <w:pPr>
        <w:spacing w:after="0" w:line="20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Company’s executive compensation for our named executive officers, as described in the Proxy Statement, was approved on an advisory, non-binding basis, by the following vote: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940" w:type="dxa"/>
            <w:vAlign w:val="bottom"/>
          </w:tcPr>
          <w:p>
            <w:pPr>
              <w:spacing w:after="0"/>
              <w:rPr>
                <w:sz w:val="15"/>
                <w:szCs w:val="15"/>
                <w:color w:val="auto"/>
              </w:rPr>
            </w:pPr>
          </w:p>
        </w:tc>
        <w:tc>
          <w:tcPr>
            <w:tcW w:w="18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20" w:type="dxa"/>
            <w:vAlign w:val="bottom"/>
          </w:tcPr>
          <w:p>
            <w:pPr>
              <w:spacing w:after="0"/>
              <w:rPr>
                <w:sz w:val="15"/>
                <w:szCs w:val="15"/>
                <w:color w:val="auto"/>
              </w:rPr>
            </w:pPr>
          </w:p>
        </w:tc>
        <w:tc>
          <w:tcPr>
            <w:tcW w:w="1880" w:type="dxa"/>
            <w:vAlign w:val="bottom"/>
            <w:gridSpan w:val="2"/>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3240" w:type="dxa"/>
            <w:vAlign w:val="bottom"/>
            <w:gridSpan w:val="3"/>
            <w:shd w:val="clear" w:color="auto" w:fill="CCEEFF"/>
          </w:tcPr>
          <w:p>
            <w:pPr>
              <w:jc w:val="right"/>
              <w:ind w:right="1660"/>
              <w:spacing w:after="0"/>
              <w:rPr>
                <w:sz w:val="20"/>
                <w:szCs w:val="20"/>
                <w:color w:val="auto"/>
              </w:rPr>
            </w:pPr>
            <w:r>
              <w:rPr>
                <w:rFonts w:ascii="Times New Roman" w:cs="Times New Roman" w:eastAsia="Times New Roman" w:hAnsi="Times New Roman"/>
                <w:sz w:val="18"/>
                <w:szCs w:val="18"/>
                <w:color w:val="auto"/>
              </w:rPr>
              <w:t>20,112,826</w:t>
            </w:r>
          </w:p>
        </w:tc>
        <w:tc>
          <w:tcPr>
            <w:tcW w:w="18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1,796,845</w:t>
            </w:r>
          </w:p>
        </w:tc>
        <w:tc>
          <w:tcPr>
            <w:tcW w:w="260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261,908</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2,611,423</w:t>
            </w:r>
          </w:p>
        </w:tc>
      </w:tr>
      <w:tr>
        <w:trPr>
          <w:trHeight w:val="581"/>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32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25"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20"/>
          </w:cols>
          <w:pgMar w:left="440" w:top="293" w:right="5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7"/>
          <w:szCs w:val="17"/>
          <w:color w:val="auto"/>
        </w:rPr>
        <w:t>TEJON RANCH CO.</w:t>
      </w:r>
    </w:p>
    <w:p>
      <w:pPr>
        <w:spacing w:after="0" w:line="221" w:lineRule="exact"/>
        <w:rPr>
          <w:sz w:val="20"/>
          <w:szCs w:val="20"/>
          <w:color w:val="auto"/>
        </w:rPr>
      </w:pPr>
    </w:p>
    <w:tbl>
      <w:tblPr>
        <w:tblLayout w:type="fixed"/>
        <w:tblInd w:w="552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MICHAEL R.W. HOUSTON</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R.W. Houston</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&amp;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2026-05-15T05:23:32Z</dcterms:created>
  <dcterms:modified xsi:type="dcterms:W3CDTF">2026-05-15T05:23:32Z</dcterms:modified>
</cp:coreProperties>
</file>