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Tejon Ranch Co.</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1-07183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77-0196136</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P. O. Box 1000, Lebec,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93243</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661-248-3000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7, 2026, the Tejon Ranch Co. (the “Company”) issued a press release announcing its first quarter 2026 financial results (the “Press Release”). A copy of the Press Release is furnished as Exhibit 99.1 to this Current Report on Form 8-K.</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exhibit attached as Exhibit 99.1 hereto) is being furnished pursuant to Item 2.02 of Form 8-K and shall not be deemed to be “filed” for the purposes of Section 18 of the Securities Exchange Act of 1934, as amended (the “Exchange Act”), or otherwise subject to the liabilities of that section, nor shall it be deemed to be incorporated by reference in any filing under the Securities Act (including the exhibit attached as Exhibit 99.1 hereto).</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exhibits that are furnished herewith, see the Index to Exhibits immediately following.</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7, 2026 announcing the Company’s first quarter 2026 financial results</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TEJON RANCH CO.</w:t>
      </w:r>
    </w:p>
    <w:p>
      <w:pPr>
        <w:spacing w:after="0" w:line="221" w:lineRule="exact"/>
        <w:rPr>
          <w:sz w:val="20"/>
          <w:szCs w:val="20"/>
          <w:color w:val="auto"/>
        </w:rPr>
      </w:pPr>
    </w:p>
    <w:tbl>
      <w:tblPr>
        <w:tblLayout w:type="fixed"/>
        <w:tblInd w:w="55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MICHAEL R.W. HOUSTON</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R.W. Houston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&amp;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173990</wp:posOffset>
            </wp:positionV>
            <wp:extent cx="293179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179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ANNOUNCES FIRST QUARTER 2026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TEJON RANCH, California - May 7, 2026 </w:t>
      </w:r>
      <w:r>
        <w:rPr>
          <w:rFonts w:ascii="Times New Roman" w:cs="Times New Roman" w:eastAsia="Times New Roman" w:hAnsi="Times New Roman"/>
          <w:sz w:val="18"/>
          <w:szCs w:val="18"/>
          <w:color w:val="auto"/>
        </w:rPr>
        <w:t>- Tejon Ranch Co. (NYSE:TRC), (“Tejon” or the “Company”), a diversified real estate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agribusiness company, today announced financial results for the first quarter ended March 31, 2026.</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135" w:lineRule="exact"/>
        <w:rPr>
          <w:sz w:val="20"/>
          <w:szCs w:val="20"/>
          <w:color w:val="auto"/>
        </w:rPr>
      </w:pPr>
    </w:p>
    <w:p>
      <w:pPr>
        <w:ind w:left="960" w:right="1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common stockholders increased by $1.6 million to $0.2 million ($0.01/share basic and diluted), compared to a loss of $1.5 million, ($0.05/share) in the first quarter of 2025.</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other income, including equity in earnings of unconsolidated joint ventures increased by $1.3 million to $10.8 million, compared to $9.6 million, while overall results also benefited from lower operating expenses compared to the first quarter of 2025.</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 non-GAAP measure, increased by $2.0 million to $4.8 million compared to $2.8 million in the first quarter of 2025.</w:t>
      </w:r>
    </w:p>
    <w:p>
      <w:pPr>
        <w:spacing w:after="0" w:line="22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Tejon Ranch Co. provides Adjusted EBITDA, a non-GAAP financial measure, because it offers additional information for monitoring the Company’s cash flow performance. A table providing a reconciliation of Adjusted EBITDA to its most comparable GAAP measure, as well as an explanation of, and important disclosures about, this non-GAAP measure, is included in the tables at the end of this press release.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delivered a solid first quarter, with revenue up 16% and expenses down 14%, the kind of operating progress to which we committed to a year ago” said Matthew Walker, President and Chief Executive Officer of Tejon Ranch Company. “Revenue growth was led by our mineral resources and ranch operations segments and was partially offset by farming. The expense improvement reflects our focus on cost reductions and enhanced efficiencies and is translating directly into increased Adjusted EBITDA and stronger cash flow.</w:t>
      </w:r>
    </w:p>
    <w:p>
      <w:pPr>
        <w:spacing w:after="0" w:line="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are continuing to grow our commercial real estate portfolio. The recent commencement of construction on Building 1B through our joint venture with Dedeaux Properties is a tangible example of that growth, adding 510,500 square feet of Class A space to an industrial portfolio that remains fully leased. The anticipated stabilization of Terra Vista, along with the recent opening of the Hard Rock Casino Tejon, should continue to drive increased traffic and commercial activity across the Ranch. Looking ahead, we believe Tejon Ranch is well-positioned to capitalize on a compelling set of opportunities.”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Commercial/Industrial Real Estate Update</w:t>
      </w:r>
    </w:p>
    <w:p>
      <w:pPr>
        <w:spacing w:after="0" w:line="135" w:lineRule="exact"/>
        <w:rPr>
          <w:sz w:val="20"/>
          <w:szCs w:val="20"/>
          <w:color w:val="auto"/>
        </w:rPr>
      </w:pPr>
    </w:p>
    <w:p>
      <w:pPr>
        <w:ind w:left="960" w:right="4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revenues of $2.8 million were consistent with the first quarter of 2025, reflecting stability at Tejon Ranch Commerce Center (“TRCC”).</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and occupancy as of March 31, 2026:</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TRCC industrial portfolio, through the Company’s joint venture partnerships, consists of 2.8 million square feet of GLA and remains 100% leased.</w:t>
      </w:r>
    </w:p>
    <w:p>
      <w:pPr>
        <w:spacing w:after="0" w:line="67" w:lineRule="exact"/>
        <w:rPr>
          <w:rFonts w:ascii="Times New Roman" w:cs="Times New Roman" w:eastAsia="Times New Roman" w:hAnsi="Times New Roman"/>
          <w:sz w:val="18"/>
          <w:szCs w:val="18"/>
          <w:color w:val="auto"/>
        </w:rPr>
      </w:pPr>
    </w:p>
    <w:p>
      <w:pPr>
        <w:ind w:left="1420" w:right="22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TRCC commercial portfolio, wholly owned and through joint venture partnerships, consists of approximately 584,000 square feet of GLA and is 95% leased.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at the Outlets at Tejon was 92% as of March 31, 2026.</w:t>
      </w:r>
    </w:p>
    <w:p>
      <w:pPr>
        <w:spacing w:after="0" w:line="130" w:lineRule="exact"/>
        <w:rPr>
          <w:rFonts w:ascii="Times New Roman" w:cs="Times New Roman" w:eastAsia="Times New Roman" w:hAnsi="Times New Roman"/>
          <w:sz w:val="18"/>
          <w:szCs w:val="18"/>
          <w:color w:val="auto"/>
        </w:rPr>
      </w:pPr>
    </w:p>
    <w:p>
      <w:pPr>
        <w:ind w:left="1420" w:right="22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quarter end, construction commenced on Building 1B at TRCC through the Company’s joint venture with Dedeaux Properties. Once complete, this will add approximately 510,500 square feet of Class-A industrial capacity.</w:t>
      </w:r>
    </w:p>
    <w:p>
      <w:pPr>
        <w:spacing w:after="0" w:line="67" w:lineRule="exact"/>
        <w:rPr>
          <w:rFonts w:ascii="Times New Roman" w:cs="Times New Roman" w:eastAsia="Times New Roman" w:hAnsi="Times New Roman"/>
          <w:sz w:val="18"/>
          <w:szCs w:val="18"/>
          <w:color w:val="auto"/>
        </w:rPr>
      </w:pPr>
    </w:p>
    <w:p>
      <w:pPr>
        <w:ind w:left="1420" w:right="40" w:hanging="331"/>
        <w:spacing w:after="0" w:line="26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continues to see elevated activity at TRCC tied to the lease-up of Terra Vista and the opening of the Hard Rock Casino Tejon, with outlet traffic increasing approximately 22%, year over year, and outlet sales per square foot rising 12%, as the positive trends that emerged at the end of 2025 extended into the first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Farming Highlights</w:t>
      </w:r>
    </w:p>
    <w:p>
      <w:pPr>
        <w:spacing w:after="0" w:line="135"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revenues were $0.9 million in the first quarter of 2026, compared to $1.6 million in the first quarter of 2025.</w:t>
      </w:r>
    </w:p>
    <w:p>
      <w:pPr>
        <w:spacing w:after="0" w:line="130" w:lineRule="exact"/>
        <w:rPr>
          <w:rFonts w:ascii="Times New Roman" w:cs="Times New Roman" w:eastAsia="Times New Roman" w:hAnsi="Times New Roman"/>
          <w:sz w:val="18"/>
          <w:szCs w:val="18"/>
          <w:color w:val="auto"/>
        </w:rPr>
      </w:pPr>
    </w:p>
    <w:p>
      <w:pPr>
        <w:ind w:left="960" w:right="560" w:hanging="424"/>
        <w:spacing w:after="0" w:line="312"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year-over-year decline reflects lower carryover crop available for sale in the first quarter of 2026, as the Company strategically accelerated sales of carryover inventory during the fourth quarter of 2025 to capitalize on stronger-than-anticipated pricing.</w:t>
      </w:r>
    </w:p>
    <w:p>
      <w:pPr>
        <w:spacing w:after="0" w:line="45"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planted 150 acres of olives in 2025 and an additional 150 acres in 2026 as part of its ongoing crop diversification strategy.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Mineral Resources Highlights</w:t>
      </w:r>
    </w:p>
    <w:p>
      <w:pPr>
        <w:spacing w:after="0" w:line="135" w:lineRule="exact"/>
        <w:rPr>
          <w:sz w:val="20"/>
          <w:szCs w:val="20"/>
          <w:color w:val="auto"/>
        </w:rPr>
      </w:pPr>
    </w:p>
    <w:p>
      <w:pPr>
        <w:ind w:left="9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revenues increased 36% to $3.5 million in the first quarter of 2026, compared to $2.6 million in the first quarter of 2025, with segment operating profit more than doubling to $1.0 million.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year-over-year improvement was driven primarily by opportunistic water sales executed during the quarter.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royalty streams across rock and aggregate, cement, and oil and gas continued to contribute stable cash flow during the quarter.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March 31, 2026, total capital, including debt, was $585.3 million. The Company had total liquidity of approximately $83.9 million, consisting of cash and securities totaling approximately $19.4 million and $64.6 million available on its line of credit.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2026 Outlook:</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remains focused on TRCC as its primary development platform and long-term value driver. The Company expects to continue pursuing commercial and industrial development, multifamily development, leasing and investment activity, both directly and through joint ventures. In addition, the Company may also pursue selective land sales on an opportunistic basis and continues to advance its residential projects, including Mountain Village, Grapevine and Centennial.</w:t>
      </w:r>
    </w:p>
    <w:p>
      <w:pPr>
        <w:spacing w:after="0" w:line="180"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California remains a highly regulated environment for real estate development, and project timelines may be impacted by entitlement processes and potential litigation. As a result, the Company expects net income to fluctuate from period to period, driven primarily by the timing and level of development activity, land sales, and leasing, as well as commodity prices and production levels within its farming and mineral resources segments.</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2026, California’s agricultural regions experienced a more typical winter cooling cycle compared to the prior year, providing pistachio and almond crops with adequate chilling hour accumulation to support normal dormancy break. During February 2026, rainfall occurred during the almond bloom period, necessitating timely fungicide applications. These weather conditions did not materially impact crop management schedules or expected productivity.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host a conference call to discuss its first quarter 2026 financial results:</w:t>
      </w:r>
    </w:p>
    <w:p>
      <w:pPr>
        <w:spacing w:after="0" w:line="127"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Thursday, May 7, 2026</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2:00 p.m. Pacific Time / 5:00 p.m. Eastern Time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Dial-In: </w:t>
      </w:r>
      <w:r>
        <w:rPr>
          <w:rFonts w:ascii="Times New Roman" w:cs="Times New Roman" w:eastAsia="Times New Roman" w:hAnsi="Times New Roman"/>
          <w:sz w:val="18"/>
          <w:szCs w:val="18"/>
          <w:color w:val="auto"/>
        </w:rPr>
        <w:t>(877) 704-4453 (U.S.) or +1 (201) 389-0920 (International)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Conference Call Playback: (</w:t>
      </w:r>
      <w:r>
        <w:rPr>
          <w:rFonts w:ascii="Times New Roman" w:cs="Times New Roman" w:eastAsia="Times New Roman" w:hAnsi="Times New Roman"/>
          <w:sz w:val="18"/>
          <w:szCs w:val="18"/>
          <w:color w:val="auto"/>
        </w:rPr>
        <w:t>844) 512-2921 (U.S.) or +1 (412) 317-6671 (International) Passcode: 13759630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playback can be accessed through Thursday, June 4,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Tejon Ranch Co.</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Tejon Ranch Co. (NYSE: TRC) is a California-based company whose 270,000-acre landholding in Los Angeles and Kern Counties supports a diversified portfolio of real estate and land-based businesses. Strategically located approximately 60 miles north of Los Angeles and 30 miles south of Bakersfield, the Company’s operations include the development and operations of commercial and industrial real estate, master planned communities, as well as farming, grazing and game management. Tejon Ranch Co. also generates revenue through ground leases, royalty agreements, and rights-of-way easements supporting infrastructure, energy, telecommunications and utility uses. For more information, please visit </w:t>
      </w:r>
      <w:r>
        <w:rPr>
          <w:rFonts w:ascii="Times New Roman" w:cs="Times New Roman" w:eastAsia="Times New Roman" w:hAnsi="Times New Roman"/>
          <w:sz w:val="18"/>
          <w:szCs w:val="18"/>
          <w:u w:val="single" w:color="auto"/>
          <w:color w:val="auto"/>
        </w:rPr>
        <w:t>www.tejonranch.com</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federal securities laws. All statements other than statements of historical fact are forward-looking statements. These statements include, among others, statements regarding the Company’s business plans, strategies, prospects, objectives, future operating results, financial condition, capital allocation, cost structure, development and entitlement timelines, partnerships, and other future events or circumstances.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Forward-looking statements reflect the Company’s current expectations and beliefs and are not guarantees of future performance. These statements speak only as of the date of this release. Words such as “anticipate,” “believe,” “estimate,” “expect,” “intend,” “plan,” “project,” “target,” “may,” “will,” “could,” “should,” “would,” “likely,” and similar expressions are intended to identify forward-looking statements.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statements are based on current assumptions and are subject to risks and uncertainties, many of which are beyond the Company’s control, that could cause actual results to differ materially from those expressed or implied. These risks and uncertainties include, among others, market, economic, geopolitical, and weather conditions; the availability and cost of financing; competition; commodity prices and agricultural yields; the ability to obtain and maintain governmental entitlements and permits; the timing and outcome of regulatory and litigation matters; demand for commercial, industrial, residential, and retail real estate; and other risks inherent in the Company’s real estate and agricultural operations.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actual results will not differ materially from these forward-looking statements. Except as required by law, the Company undertakes no obligation to update or revise any forward-looking statements. Investors are cautioned not to place undue reliance on these statements. For additional information regarding risks and uncertainties, please refer to the Company’s Annual Report on Form 10-K for the year ended December 31, 2025, and subsequent filings with the U.S. Securities and Exchange Commission.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(Financial tables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7" w:name="page8"/>
    <w:bookmarkEnd w:id="7"/>
    <w:p>
      <w:pPr>
        <w:ind w:left="3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TEJON RANCH CO. AND SUBSIDIARIES</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March 31, 2026</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720"/>
              <w:spacing w:after="0" w:line="158" w:lineRule="exact"/>
              <w:rPr>
                <w:sz w:val="20"/>
                <w:szCs w:val="20"/>
                <w:color w:val="auto"/>
              </w:rPr>
            </w:pPr>
            <w:r>
              <w:rPr>
                <w:rFonts w:ascii="Times New Roman" w:cs="Times New Roman" w:eastAsia="Times New Roman" w:hAnsi="Times New Roman"/>
                <w:sz w:val="14"/>
                <w:szCs w:val="14"/>
                <w:color w:val="auto"/>
              </w:rPr>
              <w:t>(unaudited)</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260" w:type="dxa"/>
            <w:vAlign w:val="bottom"/>
            <w:tcBorders>
              <w:top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4,664</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9,524</w:t>
            </w:r>
          </w:p>
        </w:tc>
        <w:tc>
          <w:tcPr>
            <w:tcW w:w="0" w:type="dxa"/>
            <w:vAlign w:val="bottom"/>
          </w:tcPr>
          <w:p>
            <w:pPr>
              <w:spacing w:after="0"/>
              <w:rPr>
                <w:sz w:val="1"/>
                <w:szCs w:val="1"/>
                <w:color w:val="auto"/>
              </w:rPr>
            </w:pPr>
          </w:p>
        </w:tc>
      </w:tr>
      <w:tr>
        <w:trPr>
          <w:trHeight w:val="216"/>
        </w:trPr>
        <w:tc>
          <w:tcPr>
            <w:tcW w:w="8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Marketable securities - available-for-sale</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14,719</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15,370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4,807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9,389</w:t>
            </w:r>
          </w:p>
        </w:tc>
        <w:tc>
          <w:tcPr>
            <w:tcW w:w="0" w:type="dxa"/>
            <w:vAlign w:val="bottom"/>
          </w:tcPr>
          <w:p>
            <w:pPr>
              <w:spacing w:after="0"/>
              <w:rPr>
                <w:sz w:val="1"/>
                <w:szCs w:val="1"/>
                <w:color w:val="auto"/>
              </w:rPr>
            </w:pPr>
          </w:p>
        </w:tc>
      </w:tr>
      <w:tr>
        <w:trPr>
          <w:trHeight w:val="216"/>
        </w:trPr>
        <w:tc>
          <w:tcPr>
            <w:tcW w:w="8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6,146</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3,048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33,384</w:t>
            </w:r>
          </w:p>
        </w:tc>
        <w:tc>
          <w:tcPr>
            <w:tcW w:w="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78,606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79,177</w:t>
            </w:r>
          </w:p>
        </w:tc>
        <w:tc>
          <w:tcPr>
            <w:tcW w:w="0" w:type="dxa"/>
            <w:vAlign w:val="bottom"/>
          </w:tcPr>
          <w:p>
            <w:pPr>
              <w:spacing w:after="0"/>
              <w:rPr>
                <w:sz w:val="1"/>
                <w:szCs w:val="1"/>
                <w:color w:val="auto"/>
              </w:rPr>
            </w:pPr>
          </w:p>
        </w:tc>
      </w:tr>
      <w:tr>
        <w:trPr>
          <w:trHeight w:val="198"/>
        </w:trPr>
        <w:tc>
          <w:tcPr>
            <w:tcW w:w="8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 estate development (includes $129,423 at March 31, 2026 and $128,549 at December 31, 2025,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CFL)</w:t>
            </w:r>
          </w:p>
        </w:tc>
        <w:tc>
          <w:tcPr>
            <w:tcW w:w="10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359,354</w:t>
            </w:r>
          </w:p>
        </w:tc>
        <w:tc>
          <w:tcPr>
            <w:tcW w:w="3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356,567</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59,702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59,311</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30,080</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29,986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 water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69,498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62,593</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634,159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630,469</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Trade 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6,009</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3,308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16"/>
        </w:trPr>
        <w:tc>
          <w:tcPr>
            <w:tcW w:w="8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9,490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95,442</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93,942</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gains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10,935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10,935</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9,840</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9,849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15,992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15,697</w:t>
            </w:r>
          </w:p>
        </w:tc>
        <w:tc>
          <w:tcPr>
            <w:tcW w:w="0" w:type="dxa"/>
            <w:vAlign w:val="bottom"/>
          </w:tcPr>
          <w:p>
            <w:pPr>
              <w:spacing w:after="0"/>
              <w:rPr>
                <w:sz w:val="1"/>
                <w:szCs w:val="1"/>
                <w:color w:val="auto"/>
              </w:rPr>
            </w:pPr>
          </w:p>
        </w:tc>
      </w:tr>
      <w:tr>
        <w:trPr>
          <w:trHeight w:val="223"/>
        </w:trPr>
        <w:tc>
          <w:tcPr>
            <w:tcW w:w="8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144,295</w:t>
            </w:r>
          </w:p>
        </w:tc>
        <w:tc>
          <w:tcPr>
            <w:tcW w:w="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Tejon Ranch Co. stockholders’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stock, $0.50 par value per share: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Authorized shares - 50,000,000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shares - 26,992,645 at March 31, 2026 and 26,916,837 at December 31, 2025</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13,498</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13,460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349,385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350,242</w:t>
            </w:r>
          </w:p>
        </w:tc>
        <w:tc>
          <w:tcPr>
            <w:tcW w:w="0" w:type="dxa"/>
            <w:vAlign w:val="bottom"/>
          </w:tcPr>
          <w:p>
            <w:pPr>
              <w:spacing w:after="0"/>
              <w:rPr>
                <w:sz w:val="1"/>
                <w:szCs w:val="1"/>
                <w:color w:val="auto"/>
              </w:rPr>
            </w:pPr>
          </w:p>
        </w:tc>
      </w:tr>
      <w:tr>
        <w:trPr>
          <w:trHeight w:val="216"/>
        </w:trPr>
        <w:tc>
          <w:tcPr>
            <w:tcW w:w="8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111,824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111,673</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Tejon Ranch Co. stockholders’ equity</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474,507</w:t>
            </w:r>
          </w:p>
        </w:tc>
        <w:tc>
          <w:tcPr>
            <w:tcW w:w="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15,357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15,358</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489,864</w:t>
            </w:r>
          </w:p>
        </w:tc>
        <w:tc>
          <w:tcPr>
            <w:tcW w:w="5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634,159</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630,469</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TEJON RANCH CO.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gridSpan w:val="6"/>
          </w:tcPr>
          <w:p>
            <w:pPr>
              <w:jc w:val="right"/>
              <w:ind w:right="101"/>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2,754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Multifamily</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Mineral resources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3,533</w:t>
            </w:r>
          </w:p>
        </w:tc>
        <w:tc>
          <w:tcPr>
            <w:tcW w:w="18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Farming</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6"/>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Ranch operations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8,209</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16"/>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Multifamily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Mineral resources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2,488</w:t>
            </w:r>
          </w:p>
        </w:tc>
        <w:tc>
          <w:tcPr>
            <w:tcW w:w="18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Farming</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1,989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16"/>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Ranch operations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Corporate expenses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1,886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4,236</w:t>
            </w:r>
          </w:p>
        </w:tc>
        <w:tc>
          <w:tcPr>
            <w:tcW w:w="0" w:type="dxa"/>
            <w:vAlign w:val="bottom"/>
          </w:tcPr>
          <w:p>
            <w:pPr>
              <w:spacing w:after="0"/>
              <w:rPr>
                <w:sz w:val="1"/>
                <w:szCs w:val="1"/>
                <w:color w:val="auto"/>
              </w:rPr>
            </w:pPr>
          </w:p>
        </w:tc>
      </w:tr>
      <w:tr>
        <w:trPr>
          <w:trHeight w:val="230"/>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Investment income</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loss, net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equity in earnings of unconsolidated joint ventures and income tax benefit</w:t>
            </w:r>
          </w:p>
        </w:tc>
        <w:tc>
          <w:tcPr>
            <w:tcW w:w="1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benefit</w:t>
            </w:r>
          </w:p>
        </w:tc>
        <w:tc>
          <w:tcPr>
            <w:tcW w:w="1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basic</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diluted</w:t>
            </w: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Financial Measures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references to the Company’s non-GAAP financial measures “EBITDA”, and Adjusted EBITDA. EBITDA represents the Company’s share of consolidated net income in accordance with U.S. generally accepted accounting principles (“GAAP”), before interest, taxes, depreciation, and amortization, plus the allocable portion of EBITDA of unconsolidated joint ventures accounted for under the equity method of accounting based upon economic ownership interest, and all determined on a consistent basis in accordance with GAAP. EBITDA is a non-GAAP financial measure and is used by the Company and others as a supplemental measure of performance. Tejon Ranch also uses Adjusted EBITDA to assess the performance of the Company’s core operations, for financial and operational decision making, and as a supplemental or additional means of evaluating period-to-period comparisons on a consistent basis. Adjusted EBITDA is calculated as EBITDA, excluding stock compensation expense and certain identified non-recurring items that are not indicative of our on-going operations or that may obscure our underlying results and trends. The Company believes EBITDA and Adjusted EBITDA provide investors relevant and useful information, when reconciled to their most comparable GAAP financial measure, because they permit investors to view income from operations on an unlevered basis before the effects of taxes, depreciation and amortization, and stock compensation expense. By excluding interest expense and income, EBITDA and Adjusted EBITDA allow investors to measure the Company’s performance independent of its capital structure and indebtedness and, therefore, allow for a more meaningful comparison of the Company’s performance to that of other companies, both in the real estate industry and in other industries. The Company believes that excluding charges related to share-based compensation facilitates a comparison of its operations across periods and among other companies without the variances caused by different valuation methodologies, the volatility of the expense (which depends on market forces outside the Company’s control), and the assumptions and the variety of award types that a company can use. In addition, the Company excludes certain items impacting comparability, such as shareholder activism advisory costs and legal expenses associated with the Centennial litigation, to provide investors with a clearer understanding of the Company’s core operating performance across periods. EBITDA and Adjusted EBITDA have limitations as measures of the Company’s performance. EBITDA and Adjusted EBITDA do not reflect Tejon Ranch’s historical cash expenditures or future cash requirements for capital expenditures or contractual commitments. While EBITDA and Adjusted EBITDA are relevant and widely used measures of performance, they do not represent net income or cash flows from operations as defined by GAAP, and they should not be considered as alternatives to those indicators in evaluating performance or liquidity. Further, the Company’s computation of EBITDA and Adjusted EBITDA may not be comparable to similar measures reported by other companies.</w:t>
      </w:r>
    </w:p>
    <w:p>
      <w:pPr>
        <w:spacing w:after="0" w:line="2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Adjusted Farming EBITDA before fixed water obligations is not a measure of financial performance prepared in accordance with GAAP and should not be considered in isolation or as a substitute for net income, operating income, or other performance measures prepared in accordance with GAAP. The Company defines Adjusted Farming EBITDA before fixed water obligations as net income (loss) before interest, taxes, depreciation, and amortization, further adjusted to exclude non-recurring items such as gains or losses on asset sales, impairments, share-based compensation, and other non-cash charges, and before deducting the Company’s fixed water obligations. Management uses this measure to evaluate the core operating performance of its farming operations and to facilitate period-to-period comparisons by isolating the impact of variable farming costs from the fixed water infrastructure costs. The Company believes this measure provides investors with additional insight into the underlying cash flow potential of its agricultural operations. A reconciliation of Adjusted Farming EBITDA before fixed water obligations to the most directly comparable GAAP measure, Operating loss from farming, is provided below.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10" w:name="page11"/>
    <w:bookmarkEnd w:id="10"/>
    <w:p>
      <w:pPr>
        <w:ind w:left="46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TEJON RANCH CO.</w:t>
      </w:r>
    </w:p>
    <w:p>
      <w:pPr>
        <w:spacing w:after="0" w:line="1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02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80" w:type="dxa"/>
            <w:vAlign w:val="bottom"/>
          </w:tcPr>
          <w:p>
            <w:pPr>
              <w:spacing w:after="0"/>
              <w:rPr>
                <w:sz w:val="14"/>
                <w:szCs w:val="14"/>
                <w:color w:val="auto"/>
              </w:rPr>
            </w:pPr>
          </w:p>
        </w:tc>
        <w:tc>
          <w:tcPr>
            <w:tcW w:w="15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TTM* Ended March 31,</w:t>
            </w:r>
          </w:p>
        </w:tc>
        <w:tc>
          <w:tcPr>
            <w:tcW w:w="0" w:type="dxa"/>
            <w:vAlign w:val="bottom"/>
          </w:tcPr>
          <w:p>
            <w:pPr>
              <w:spacing w:after="0"/>
              <w:rPr>
                <w:sz w:val="1"/>
                <w:szCs w:val="1"/>
                <w:color w:val="auto"/>
              </w:rPr>
            </w:pPr>
          </w:p>
        </w:tc>
      </w:tr>
      <w:tr>
        <w:trPr>
          <w:trHeight w:val="142"/>
        </w:trPr>
        <w:tc>
          <w:tcPr>
            <w:tcW w:w="7340" w:type="dxa"/>
            <w:vAlign w:val="bottom"/>
            <w:tcBorders>
              <w:bottom w:val="single" w:sz="8" w:color="CCEEFF"/>
            </w:tcBorders>
            <w:gridSpan w:val="2"/>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Our share of interest expense from unconsolidated joint ventures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6,084</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 net</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 share of depreciation and amortization from unconsolidated joint ventures</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6,962</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13,434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11,735</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22,562</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impacting comparability:</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71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 xml:space="preserve">Shareholder activism expense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27,205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w:t>
            </w:r>
          </w:p>
        </w:tc>
        <w:tc>
          <w:tcPr>
            <w:tcW w:w="71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Represents advisory fees related to shareholder activism matters.</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20" w:type="dxa"/>
            <w:vAlign w:val="bottom"/>
            <w:vMerge w:val="continue"/>
          </w:tcPr>
          <w:p>
            <w:pPr>
              <w:spacing w:after="0"/>
              <w:rPr>
                <w:sz w:val="24"/>
                <w:szCs w:val="24"/>
                <w:color w:val="auto"/>
              </w:rPr>
            </w:pPr>
          </w:p>
        </w:tc>
        <w:tc>
          <w:tcPr>
            <w:tcW w:w="7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Trailing Twelve Month (TTM)</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7120" w:type="dxa"/>
            <w:vAlign w:val="bottom"/>
          </w:tcPr>
          <w:p>
            <w:pPr>
              <w:ind w:left="524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Net Income to Adjusted TTM EBITDA</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rPr>
              <w:t>TTM EBITDA Ended March 31, 2026</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0" w:type="dxa"/>
            <w:vAlign w:val="bottom"/>
          </w:tcPr>
          <w:p>
            <w:pPr>
              <w:spacing w:after="0"/>
              <w:rPr>
                <w:sz w:val="10"/>
                <w:szCs w:val="10"/>
                <w:color w:val="auto"/>
              </w:rPr>
            </w:pPr>
          </w:p>
        </w:tc>
        <w:tc>
          <w:tcPr>
            <w:tcW w:w="900" w:type="dxa"/>
            <w:vAlign w:val="bottom"/>
            <w:gridSpan w:val="4"/>
          </w:tcPr>
          <w:p>
            <w:pPr>
              <w:spacing w:after="0" w:line="119" w:lineRule="exact"/>
              <w:rPr>
                <w:sz w:val="20"/>
                <w:szCs w:val="20"/>
                <w:color w:val="auto"/>
              </w:rPr>
            </w:pPr>
            <w:r>
              <w:rPr>
                <w:rFonts w:ascii="Times New Roman" w:cs="Times New Roman" w:eastAsia="Times New Roman" w:hAnsi="Times New Roman"/>
                <w:sz w:val="13"/>
                <w:szCs w:val="13"/>
                <w:color w:val="auto"/>
              </w:rPr>
              <w:t>Commercial</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Farming</w:t>
            </w:r>
          </w:p>
        </w:tc>
        <w:tc>
          <w:tcPr>
            <w:tcW w:w="100" w:type="dxa"/>
            <w:vAlign w:val="bottom"/>
          </w:tcPr>
          <w:p>
            <w:pPr>
              <w:spacing w:after="0"/>
              <w:rPr>
                <w:sz w:val="10"/>
                <w:szCs w:val="10"/>
                <w:color w:val="auto"/>
              </w:rPr>
            </w:pPr>
          </w:p>
        </w:tc>
        <w:tc>
          <w:tcPr>
            <w:tcW w:w="700" w:type="dxa"/>
            <w:vAlign w:val="bottom"/>
            <w:gridSpan w:val="3"/>
          </w:tcPr>
          <w:p>
            <w:pPr>
              <w:ind w:left="80"/>
              <w:spacing w:after="0" w:line="119" w:lineRule="exact"/>
              <w:rPr>
                <w:sz w:val="20"/>
                <w:szCs w:val="20"/>
                <w:color w:val="auto"/>
              </w:rPr>
            </w:pPr>
            <w:r>
              <w:rPr>
                <w:rFonts w:ascii="Times New Roman" w:cs="Times New Roman" w:eastAsia="Times New Roman" w:hAnsi="Times New Roman"/>
                <w:sz w:val="13"/>
                <w:szCs w:val="13"/>
                <w:color w:val="auto"/>
              </w:rPr>
              <w:t>Mineral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Ranch</w:t>
            </w:r>
          </w:p>
        </w:tc>
        <w:tc>
          <w:tcPr>
            <w:tcW w:w="92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Residential</w:t>
            </w:r>
          </w:p>
        </w:tc>
        <w:tc>
          <w:tcPr>
            <w:tcW w:w="920" w:type="dxa"/>
            <w:vAlign w:val="bottom"/>
            <w:gridSpan w:val="3"/>
            <w:vMerge w:val="restart"/>
          </w:tcPr>
          <w:p>
            <w:pPr>
              <w:jc w:val="right"/>
              <w:ind w:right="221"/>
              <w:spacing w:after="0"/>
              <w:rPr>
                <w:sz w:val="20"/>
                <w:szCs w:val="20"/>
                <w:color w:val="auto"/>
              </w:rPr>
            </w:pPr>
            <w:r>
              <w:rPr>
                <w:rFonts w:ascii="Times New Roman" w:cs="Times New Roman" w:eastAsia="Times New Roman" w:hAnsi="Times New Roman"/>
                <w:sz w:val="14"/>
                <w:szCs w:val="14"/>
                <w:color w:val="auto"/>
              </w:rPr>
              <w:t>Corporate</w:t>
            </w:r>
          </w:p>
        </w:tc>
        <w:tc>
          <w:tcPr>
            <w:tcW w:w="78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Tejon PRS</w:t>
            </w:r>
          </w:p>
        </w:tc>
        <w:tc>
          <w:tcPr>
            <w:tcW w:w="100" w:type="dxa"/>
            <w:vAlign w:val="bottom"/>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Grand Total</w:t>
            </w: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Real Estate</w:t>
            </w:r>
          </w:p>
        </w:tc>
        <w:tc>
          <w:tcPr>
            <w:tcW w:w="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Resources</w:t>
            </w: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Operations</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7"/>
              </w:rPr>
              <w:t>of UJV</w:t>
            </w: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(1,683)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(214)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591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(2,247)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(13,607)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attributed to</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interest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Our share of interest expense from</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5,729</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net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1,477</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6,472</w:t>
            </w:r>
          </w:p>
        </w:tc>
        <w:tc>
          <w:tcPr>
            <w:tcW w:w="0" w:type="dxa"/>
            <w:vAlign w:val="bottom"/>
          </w:tcPr>
          <w:p>
            <w:pPr>
              <w:spacing w:after="0"/>
              <w:rPr>
                <w:sz w:val="1"/>
                <w:szCs w:val="1"/>
                <w:color w:val="auto"/>
              </w:rPr>
            </w:pPr>
          </w:p>
        </w:tc>
      </w:tr>
      <w:tr>
        <w:trPr>
          <w:trHeight w:val="198"/>
        </w:trPr>
        <w:tc>
          <w:tcPr>
            <w:tcW w:w="3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Our share of depreciation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 from unconsolidated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joint ventures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6,962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490</w:t>
            </w:r>
          </w:p>
        </w:tc>
        <w:tc>
          <w:tcPr>
            <w:tcW w:w="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1,477</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13,434</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961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(2,215)</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(11,545)</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Items impacting comparability: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6"/>
              </w:rPr>
              <w:t>(206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2,205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964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shareholder activism expense.</w:t>
      </w:r>
    </w:p>
    <w:p>
      <w:pPr>
        <w:spacing w:after="0" w:line="2" w:lineRule="exact"/>
        <w:rPr>
          <w:sz w:val="20"/>
          <w:szCs w:val="20"/>
          <w:color w:val="auto"/>
        </w:rPr>
      </w:pPr>
    </w:p>
    <w:p>
      <w:pPr>
        <w:ind w:left="5464" w:right="5080" w:hanging="5464"/>
        <w:spacing w:after="0" w:line="355" w:lineRule="auto"/>
        <w:tabs>
          <w:tab w:leader="none" w:pos="43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information is not indicative of full year results due to seasonality. 9</w:t>
      </w:r>
    </w:p>
    <w:p>
      <w:pPr>
        <w:sectPr>
          <w:pgSz w:w="11900" w:h="16838" w:orient="portrait"/>
          <w:cols w:equalWidth="0" w:num="1">
            <w:col w:w="11024"/>
          </w:cols>
          <w:pgMar w:left="436" w:top="266" w:right="439" w:bottom="1440" w:gutter="0" w:footer="0" w:header="0"/>
        </w:sectPr>
      </w:pPr>
    </w:p>
    <w:bookmarkStart w:id="12" w:name="page13"/>
    <w:bookmarkEnd w:id="12"/>
    <w:tbl>
      <w:tblPr>
        <w:tblLayout w:type="fixed"/>
        <w:tblInd w:w="4"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10"/>
          </w:tcPr>
          <w:p>
            <w:pPr>
              <w:jc w:val="right"/>
              <w:ind w:right="141"/>
              <w:spacing w:after="0"/>
              <w:rPr>
                <w:sz w:val="20"/>
                <w:szCs w:val="20"/>
                <w:color w:val="auto"/>
              </w:rPr>
            </w:pPr>
            <w:r>
              <w:rPr>
                <w:rFonts w:ascii="Times New Roman" w:cs="Times New Roman" w:eastAsia="Times New Roman" w:hAnsi="Times New Roman"/>
                <w:sz w:val="14"/>
                <w:szCs w:val="14"/>
                <w:color w:val="auto"/>
              </w:rPr>
              <w:t>TTM EBITDA Ended March 31, 2025</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0" w:type="dxa"/>
            <w:vAlign w:val="bottom"/>
          </w:tcPr>
          <w:p>
            <w:pPr>
              <w:spacing w:after="0"/>
              <w:rPr>
                <w:sz w:val="10"/>
                <w:szCs w:val="10"/>
                <w:color w:val="auto"/>
              </w:rPr>
            </w:pPr>
          </w:p>
        </w:tc>
        <w:tc>
          <w:tcPr>
            <w:tcW w:w="800" w:type="dxa"/>
            <w:vAlign w:val="bottom"/>
            <w:gridSpan w:val="4"/>
          </w:tcPr>
          <w:p>
            <w:pPr>
              <w:jc w:val="right"/>
              <w:ind w:right="100"/>
              <w:spacing w:after="0" w:line="119" w:lineRule="exact"/>
              <w:rPr>
                <w:sz w:val="20"/>
                <w:szCs w:val="20"/>
                <w:color w:val="auto"/>
              </w:rPr>
            </w:pPr>
            <w:r>
              <w:rPr>
                <w:rFonts w:ascii="Times New Roman" w:cs="Times New Roman" w:eastAsia="Times New Roman" w:hAnsi="Times New Roman"/>
                <w:sz w:val="13"/>
                <w:szCs w:val="13"/>
                <w:color w:val="auto"/>
              </w:rPr>
              <w:t>Commercial</w:t>
            </w:r>
          </w:p>
        </w:tc>
        <w:tc>
          <w:tcPr>
            <w:tcW w:w="12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Multifamily</w:t>
            </w:r>
          </w:p>
        </w:tc>
        <w:tc>
          <w:tcPr>
            <w:tcW w:w="240" w:type="dxa"/>
            <w:vAlign w:val="bottom"/>
          </w:tcPr>
          <w:p>
            <w:pPr>
              <w:spacing w:after="0"/>
              <w:rPr>
                <w:sz w:val="10"/>
                <w:szCs w:val="10"/>
                <w:color w:val="auto"/>
              </w:rPr>
            </w:pPr>
          </w:p>
        </w:tc>
        <w:tc>
          <w:tcPr>
            <w:tcW w:w="840" w:type="dxa"/>
            <w:vAlign w:val="bottom"/>
            <w:gridSpan w:val="3"/>
            <w:vMerge w:val="restart"/>
          </w:tcPr>
          <w:p>
            <w:pPr>
              <w:jc w:val="right"/>
              <w:ind w:right="241"/>
              <w:spacing w:after="0"/>
              <w:rPr>
                <w:sz w:val="20"/>
                <w:szCs w:val="20"/>
                <w:color w:val="auto"/>
              </w:rPr>
            </w:pPr>
            <w:r>
              <w:rPr>
                <w:rFonts w:ascii="Times New Roman" w:cs="Times New Roman" w:eastAsia="Times New Roman" w:hAnsi="Times New Roman"/>
                <w:sz w:val="14"/>
                <w:szCs w:val="14"/>
                <w:color w:val="auto"/>
              </w:rPr>
              <w:t>Farming</w:t>
            </w:r>
          </w:p>
        </w:tc>
        <w:tc>
          <w:tcPr>
            <w:tcW w:w="70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3"/>
                <w:szCs w:val="13"/>
                <w:color w:val="auto"/>
              </w:rPr>
              <w:t>Mineral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Ranch</w:t>
            </w:r>
          </w:p>
        </w:tc>
        <w:tc>
          <w:tcPr>
            <w:tcW w:w="1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Residential</w:t>
            </w:r>
          </w:p>
        </w:tc>
        <w:tc>
          <w:tcPr>
            <w:tcW w:w="820" w:type="dxa"/>
            <w:vAlign w:val="bottom"/>
            <w:gridSpan w:val="3"/>
            <w:vMerge w:val="restart"/>
          </w:tcPr>
          <w:p>
            <w:pPr>
              <w:jc w:val="right"/>
              <w:ind w:right="141"/>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Tejon PRS of</w:t>
            </w:r>
          </w:p>
        </w:tc>
        <w:tc>
          <w:tcPr>
            <w:tcW w:w="100" w:type="dxa"/>
            <w:vAlign w:val="bottom"/>
          </w:tcPr>
          <w:p>
            <w:pPr>
              <w:spacing w:after="0"/>
              <w:rPr>
                <w:sz w:val="10"/>
                <w:szCs w:val="10"/>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Grand Total</w:t>
            </w:r>
          </w:p>
        </w:tc>
        <w:tc>
          <w:tcPr>
            <w:tcW w:w="0" w:type="dxa"/>
            <w:vAlign w:val="bottom"/>
          </w:tcPr>
          <w:p>
            <w:pPr>
              <w:spacing w:after="0"/>
              <w:rPr>
                <w:sz w:val="1"/>
                <w:szCs w:val="1"/>
                <w:color w:val="auto"/>
              </w:rPr>
            </w:pPr>
          </w:p>
        </w:tc>
      </w:tr>
      <w:tr>
        <w:trPr>
          <w:trHeight w:val="171"/>
        </w:trPr>
        <w:tc>
          <w:tcPr>
            <w:tcW w:w="2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Resources</w:t>
            </w:r>
          </w:p>
        </w:tc>
        <w:tc>
          <w:tcPr>
            <w:tcW w:w="1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Operations</w:t>
            </w:r>
          </w:p>
        </w:tc>
        <w:tc>
          <w:tcPr>
            <w:tcW w:w="1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UJV</w:t>
            </w: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(3,416)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482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(1,440)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(11,846)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attributed to</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interest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Our share of interest expense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from unconsolidated joint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ventures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6,084</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net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198"/>
        </w:trPr>
        <w:tc>
          <w:tcPr>
            <w:tcW w:w="2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Our share of depreciation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 from</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421</w:t>
            </w:r>
          </w:p>
        </w:tc>
        <w:tc>
          <w:tcPr>
            <w:tcW w:w="1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11,735</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3"/>
              </w:rPr>
              <w:t>(1,098)</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869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(1,398)</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(12,783)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Items impacting comparability: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879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shareholder activism expense.</w:t>
      </w:r>
    </w:p>
    <w:p>
      <w:pPr>
        <w:spacing w:after="0" w:line="2" w:lineRule="exact"/>
        <w:rPr>
          <w:sz w:val="20"/>
          <w:szCs w:val="20"/>
          <w:color w:val="auto"/>
        </w:rPr>
      </w:pPr>
    </w:p>
    <w:p>
      <w:pPr>
        <w:ind w:left="5424" w:right="5080" w:hanging="5424"/>
        <w:spacing w:after="0" w:line="355" w:lineRule="auto"/>
        <w:tabs>
          <w:tab w:leader="none" w:pos="43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information is not indicative of full year results due to seasonality. 10</w:t>
      </w:r>
    </w:p>
    <w:p>
      <w:pPr>
        <w:sectPr>
          <w:pgSz w:w="11900" w:h="16838" w:orient="portrait"/>
          <w:cols w:equalWidth="0" w:num="1">
            <w:col w:w="11024"/>
          </w:cols>
          <w:pgMar w:left="436" w:top="265"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Reconciliation of Adjusted Farming EBITDA before Fixed Water Obligations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evaluates the performance of its farming operations using Adjusted Farming EBITDA before fixed water obligations, a non-GAAP financial measure. Management believes this measure provides a meaningful representation of the underlying profitability and cash flow potential of its agricultural operations by excluding both non-operating items and the fixed water obligation, which represents a non-controllable infrastructure cost incurred regardless of the level of farming activity in this segment.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fixed water obligations reflect the Company’s allocated share of infrastructure and financing costs associated with the transmission and delivery of water to the Company’s property. These obligations primarily consist of annual assessments levied to repay bonds issued by the State of California to finance the construction and on-going maintenance of the state water project system and local water districts water systems. The landowners who hold water rights, including the Company, are responsible for repaying these bonds through fixed annual payments.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Unlike variable water costs which are included in farming expenses, management views the fixed water obligation as an infrastructure cost that supports long-term access to water resources, rather than an essential operating cost of farming. Accordingly, Adjusted Farming EBITDA before fixed water obligations allows management and investors to evaluate the operating performance of the Company’s farming segment independent of the fixed costs associated with water infrastructure.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Farming Segment</w:t>
            </w:r>
          </w:p>
        </w:tc>
        <w:tc>
          <w:tcPr>
            <w:tcW w:w="140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rPr>
              <w:t>2026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2"/>
              <w:spacing w:after="0" w:line="129"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50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Farming revenues</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895</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Farming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from farming</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Water Obligations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6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Adjusted Farming EBITDA before Fixed Water Obligations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 Per Share (EPS) and Share Data</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0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left="254"/>
              <w:spacing w:after="0"/>
              <w:rPr>
                <w:sz w:val="20"/>
                <w:szCs w:val="20"/>
                <w:color w:val="auto"/>
              </w:rPr>
            </w:pPr>
            <w:r>
              <w:rPr>
                <w:rFonts w:ascii="Times New Roman" w:cs="Times New Roman" w:eastAsia="Times New Roman" w:hAnsi="Times New Roman"/>
                <w:sz w:val="18"/>
                <w:szCs w:val="18"/>
                <w:color w:val="auto"/>
              </w:rPr>
              <w:t>(Unaudited)</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600"/>
              <w:spacing w:after="0" w:line="119" w:lineRule="exact"/>
              <w:rPr>
                <w:sz w:val="20"/>
                <w:szCs w:val="20"/>
                <w:color w:val="auto"/>
              </w:rPr>
            </w:pPr>
            <w:r>
              <w:rPr>
                <w:rFonts w:ascii="Times New Roman" w:cs="Times New Roman" w:eastAsia="Times New Roman" w:hAnsi="Times New Roman"/>
                <w:sz w:val="13"/>
                <w:szCs w:val="13"/>
                <w:color w:val="auto"/>
              </w:rPr>
              <w:t>March 31,</w:t>
            </w:r>
          </w:p>
        </w:tc>
        <w:tc>
          <w:tcPr>
            <w:tcW w:w="122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3"/>
                <w:szCs w:val="13"/>
                <w:color w:val="auto"/>
              </w:rPr>
              <w:t>December 31,</w:t>
            </w:r>
          </w:p>
        </w:tc>
        <w:tc>
          <w:tcPr>
            <w:tcW w:w="140" w:type="dxa"/>
            <w:vAlign w:val="bottom"/>
          </w:tcPr>
          <w:p>
            <w:pPr>
              <w:spacing w:after="0"/>
              <w:rPr>
                <w:sz w:val="10"/>
                <w:szCs w:val="10"/>
                <w:color w:val="auto"/>
              </w:rPr>
            </w:pPr>
          </w:p>
        </w:tc>
        <w:tc>
          <w:tcPr>
            <w:tcW w:w="1340" w:type="dxa"/>
            <w:vAlign w:val="bottom"/>
            <w:gridSpan w:val="5"/>
          </w:tcPr>
          <w:p>
            <w:pPr>
              <w:jc w:val="center"/>
              <w:ind w:right="440"/>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1080" w:type="dxa"/>
            <w:vAlign w:val="bottom"/>
            <w:gridSpan w:val="4"/>
          </w:tcPr>
          <w:p>
            <w:pPr>
              <w:ind w:left="220"/>
              <w:spacing w:after="0" w:line="119" w:lineRule="exact"/>
              <w:rPr>
                <w:sz w:val="20"/>
                <w:szCs w:val="20"/>
                <w:color w:val="auto"/>
              </w:rPr>
            </w:pPr>
            <w:r>
              <w:rPr>
                <w:rFonts w:ascii="Times New Roman" w:cs="Times New Roman" w:eastAsia="Times New Roman" w:hAnsi="Times New Roman"/>
                <w:sz w:val="13"/>
                <w:szCs w:val="13"/>
                <w:color w:val="auto"/>
              </w:rPr>
              <w:t>June 30,</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Times New Roman" w:cs="Times New Roman" w:eastAsia="Times New Roman" w:hAnsi="Times New Roman"/>
                <w:sz w:val="13"/>
                <w:szCs w:val="13"/>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2026</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per common share</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17.65</w:t>
            </w:r>
          </w:p>
        </w:tc>
        <w:tc>
          <w:tcPr>
            <w:tcW w:w="3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Period End Share Price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26,937,124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26,907,329</w:t>
            </w:r>
          </w:p>
        </w:tc>
        <w:tc>
          <w:tcPr>
            <w:tcW w:w="12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26,890,979</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26,878,658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26,852,573</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27,014,799</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26,965,558</w:t>
            </w:r>
          </w:p>
        </w:tc>
        <w:tc>
          <w:tcPr>
            <w:tcW w:w="12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26,939,860</w:t>
            </w: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26,878,658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26,852,573</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26,992,645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26,916,837</w:t>
            </w:r>
          </w:p>
        </w:tc>
        <w:tc>
          <w:tcPr>
            <w:tcW w:w="12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26,893,955</w:t>
            </w:r>
          </w:p>
        </w:tc>
        <w:tc>
          <w:tcPr>
            <w:tcW w:w="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26,880,668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26,867,600</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left="374"/>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Tejon Ranch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Nicholas Ortiz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Corporate Communications &amp; Public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661-663-4212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IR@tejonranch.com</w:t>
      </w:r>
    </w:p>
    <w:p>
      <w:pPr>
        <w:spacing w:after="0" w:line="15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 "/>
      <w:numFmt w:val="bullet"/>
      <w:start w:val="1"/>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2026-05-07T08:06:47Z</dcterms:created>
  <dcterms:modified xsi:type="dcterms:W3CDTF">2026-05-07T08:06:47Z</dcterms:modified>
</cp:coreProperties>
</file>