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5086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08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METCALFE NORMAN J</w:t>
              </w:r>
            </w:hyperlink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TEJON RANCH CO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TRC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04/07/2026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2007 BAYADERE TERRACE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CORONA DEL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92625</w:t>
            </w:r>
          </w:p>
        </w:tc>
      </w:tr>
      <w:tr>
        <w:trPr>
          <w:trHeight w:val="226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87"/>
        </w:trPr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309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(D)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Indirect (I)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Tejon Ranch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Co. Non-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Tejon Ranch Co. Common Stock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04/07/2026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1,245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18.84</w:t>
            </w: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200"/>
              <w:spacing w:after="0" w:line="3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90,871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Qualified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6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Direct ownership of 18,620 shares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Indirect Ownership of 72,251 shares in the Non-Qualified Deferred Compensation Plan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Norman Metcalfe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04/07/2026</w:t>
            </w:r>
          </w:p>
        </w:tc>
      </w:tr>
      <w:tr>
        <w:trPr>
          <w:trHeight w:val="20"/>
        </w:trPr>
        <w:tc>
          <w:tcPr>
            <w:tcW w:w="1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14407" TargetMode="External"/><Relationship Id="rId14" Type="http://schemas.openxmlformats.org/officeDocument/2006/relationships/hyperlink" Target="http://www.sec.gov/cgi-bin/browse-edgar?action=getcompany&amp;CIK=000009686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2026-04-07T18:34:16Z</dcterms:created>
  <dcterms:modified xsi:type="dcterms:W3CDTF">2026-04-07T18:34:16Z</dcterms:modified>
</cp:coreProperties>
</file>